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63C6E" w14:textId="1A552955" w:rsidR="00B54161" w:rsidRPr="00B54161" w:rsidRDefault="00B54161" w:rsidP="00B541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</w:pPr>
      <w:r w:rsidRPr="00B541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  <w:t xml:space="preserve">Cessione di immobili post Superbonus, </w:t>
      </w:r>
      <w:r w:rsidRPr="00B541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  <w14:ligatures w14:val="none"/>
        </w:rPr>
        <w:t>nuove regole chiarite dall’agenzia delle entrate</w:t>
      </w:r>
    </w:p>
    <w:p w14:paraId="7193CAC0" w14:textId="77777777" w:rsidR="00B54161" w:rsidRDefault="00B54161" w:rsidP="00B54161">
      <w:pPr>
        <w:pStyle w:val="NormaleWeb"/>
        <w:jc w:val="both"/>
      </w:pPr>
      <w:r>
        <w:t xml:space="preserve">La legge 30 dicembre 2023, n. 213 (legge di bilancio 2024) interviene sulla disciplina fiscale delle plusvalenze in caso di cessione a titolo oneroso di beni immobili e introduce nuove misure in materia di variazione dello stato dei beni. Con la </w:t>
      </w:r>
      <w:hyperlink r:id="rId4" w:tgtFrame="_blank" w:history="1">
        <w:r>
          <w:rPr>
            <w:rStyle w:val="Collegamentoipertestuale"/>
            <w:rFonts w:eastAsiaTheme="majorEastAsia"/>
          </w:rPr>
          <w:t>circolare n. 13/E</w:t>
        </w:r>
      </w:hyperlink>
      <w:r>
        <w:t xml:space="preserve"> del 13 giugno, l’Agenzia delle entrate fornisce istruzioni operative agli Uffici riguardo entrambe le novità fiscali.</w:t>
      </w:r>
    </w:p>
    <w:p w14:paraId="78CB4238" w14:textId="6925B9B2" w:rsidR="00B54161" w:rsidRDefault="00B54161" w:rsidP="00B54161">
      <w:pPr>
        <w:pStyle w:val="NormaleWeb"/>
        <w:jc w:val="both"/>
      </w:pPr>
      <w:r>
        <w:rPr>
          <w:rStyle w:val="Enfasigrassetto"/>
          <w:rFonts w:eastAsiaTheme="majorEastAsia"/>
        </w:rPr>
        <w:t>Modifiche alla disciplina fiscale delle plusvalenze in caso di cessione a titolo oneroso di beni immobili</w:t>
      </w:r>
      <w:r>
        <w:br/>
      </w:r>
      <w:r>
        <w:t>T</w:t>
      </w:r>
      <w:r>
        <w:t>ra i redditi diversi indicati nell’articolo 67 del Tuir è stata inserita una nuova fattispecie di plusvalenza imponibile, ossia la plusvalenza che deriva dalla cessione di immobili oggetto di interventi agevolati di cui all’articolo 119 del Dl n. 34/2020 (“</w:t>
      </w:r>
      <w:r>
        <w:rPr>
          <w:rStyle w:val="Enfasicorsivo"/>
          <w:rFonts w:eastAsiaTheme="majorEastAsia"/>
        </w:rPr>
        <w:t>Superbonus</w:t>
      </w:r>
      <w:r>
        <w:t>”) che, all’atto della cessione, si siano conclusi da non più di dieci anni.</w:t>
      </w:r>
    </w:p>
    <w:p w14:paraId="28B85D33" w14:textId="77777777" w:rsidR="00B54161" w:rsidRDefault="00B54161" w:rsidP="00B54161">
      <w:pPr>
        <w:pStyle w:val="NormaleWeb"/>
        <w:jc w:val="both"/>
      </w:pPr>
      <w:r>
        <w:t>La nuova disciplina si applica alle cessioni «</w:t>
      </w:r>
      <w:r>
        <w:rPr>
          <w:rStyle w:val="Enfasicorsivo"/>
          <w:rFonts w:eastAsiaTheme="majorEastAsia"/>
        </w:rPr>
        <w:t>poste in essere a decorrere dal 1° gennaio 2024</w:t>
      </w:r>
      <w:r>
        <w:t>».</w:t>
      </w:r>
    </w:p>
    <w:p w14:paraId="43DC34EF" w14:textId="77777777" w:rsidR="00B54161" w:rsidRDefault="00B54161" w:rsidP="00B54161">
      <w:pPr>
        <w:pStyle w:val="NormaleWeb"/>
        <w:jc w:val="both"/>
      </w:pPr>
      <w:r>
        <w:t xml:space="preserve">Rientrano nell’ambito oggettivo di applicazione della nuova disposizione tutte le tipologie di immobili che sono state oggetto degli interventi agevolati ammessi al </w:t>
      </w:r>
      <w:r>
        <w:rPr>
          <w:rStyle w:val="Enfasicorsivo"/>
          <w:rFonts w:eastAsiaTheme="majorEastAsia"/>
        </w:rPr>
        <w:t>Superbonus</w:t>
      </w:r>
      <w:r>
        <w:t>, indipendentemente dal fatto che detti interventi siano stati effettuati sull’immobile dal cedente (ad esempio il proprietario) oppure dagli</w:t>
      </w:r>
      <w:r>
        <w:rPr>
          <w:rStyle w:val="Enfasicorsivo"/>
          <w:rFonts w:eastAsiaTheme="majorEastAsia"/>
        </w:rPr>
        <w:t> </w:t>
      </w:r>
      <w:r>
        <w:t>altri aventi diritto (il conduttore, il comodatario, il familiare convivente, ecc.).</w:t>
      </w:r>
    </w:p>
    <w:p w14:paraId="71E792A2" w14:textId="77777777" w:rsidR="00B54161" w:rsidRDefault="00B54161" w:rsidP="00B54161">
      <w:pPr>
        <w:pStyle w:val="NormaleWeb"/>
        <w:jc w:val="both"/>
      </w:pPr>
      <w:r>
        <w:t>Con riguardo agli «</w:t>
      </w:r>
      <w:r>
        <w:rPr>
          <w:rStyle w:val="Enfasicorsivo"/>
          <w:rFonts w:eastAsiaTheme="majorEastAsia"/>
        </w:rPr>
        <w:t>interventi agevolati</w:t>
      </w:r>
      <w:r>
        <w:t xml:space="preserve">», la circolare precisa che non rileva la tipologia di interventi – trainanti o trainati – effettuati sull’immobile oggetto di cessione, risultando sufficiente la circostanza che siano stati effettuati interventi ammessi al </w:t>
      </w:r>
      <w:r>
        <w:rPr>
          <w:rStyle w:val="Enfasicorsivo"/>
          <w:rFonts w:eastAsiaTheme="majorEastAsia"/>
        </w:rPr>
        <w:t>Superbonus</w:t>
      </w:r>
      <w:r>
        <w:t xml:space="preserve"> sulle parti comuni dell’edificio di cui fa parte l’unità immobiliare ceduta a titolo oneroso.</w:t>
      </w:r>
    </w:p>
    <w:p w14:paraId="5BF13A93" w14:textId="134C9CF2" w:rsidR="00B54161" w:rsidRDefault="00B54161" w:rsidP="00B54161">
      <w:pPr>
        <w:pStyle w:val="NormaleWeb"/>
        <w:jc w:val="both"/>
      </w:pPr>
      <w:r>
        <w:t xml:space="preserve">Quindi, indipendentemente che la fruizione del superbonus sia fruita </w:t>
      </w:r>
      <w:r>
        <w:t>in dichiarazione, tramite opzione per la cessione del credito o per il cosiddetto “sconto in fattura”</w:t>
      </w:r>
      <w:r w:rsidR="00FA1B07">
        <w:t xml:space="preserve"> e indipendentemente dalla percentuale dell’agevolazione SUPERBONUS (110% o 90%, </w:t>
      </w:r>
      <w:proofErr w:type="spellStart"/>
      <w:r w:rsidR="00FA1B07">
        <w:t>ecc</w:t>
      </w:r>
      <w:proofErr w:type="spellEnd"/>
      <w:r w:rsidR="00FA1B07">
        <w:t>)</w:t>
      </w:r>
      <w:r>
        <w:t xml:space="preserve"> la vendita rientra in questo nuovo regime.</w:t>
      </w:r>
    </w:p>
    <w:p w14:paraId="5060FEA1" w14:textId="6336978D" w:rsidR="00B54161" w:rsidRDefault="00B54161" w:rsidP="00B54161">
      <w:pPr>
        <w:pStyle w:val="NormaleWeb"/>
        <w:jc w:val="both"/>
      </w:pPr>
      <w:r>
        <w:t>La nuova ipotesi di plusvalenza, secondo le indicazioni contenute nella circolare, riguarda solo la prima cessione a titolo oneroso - effettuata entro dieci anni dalla conclusione dei lavori - e non anche le eventuali successive cessioni dell’immobile.</w:t>
      </w:r>
    </w:p>
    <w:p w14:paraId="34154F8A" w14:textId="77777777" w:rsidR="00B54161" w:rsidRDefault="00B54161" w:rsidP="00B54161">
      <w:pPr>
        <w:pStyle w:val="NormaleWeb"/>
        <w:jc w:val="both"/>
      </w:pPr>
      <w:r>
        <w:t>Sono escluse dall’ambito applicativo della disposizione le plusvalenze relative agli immobili acquisiti per successione, agli immobili adibiti ad abitazione principale del cedente o dei suoi familiari per la maggior parte dei dieci anni antecedenti alla cessione o a quelli adibiti ad abitazione principale del cedente o dei suoi familiari per la maggior parte del periodo intercorso tra l’acquisto o la costruzione e la cessione, qualora all’atto della cessione i predetti immobili siano stati acquistati o costruiti da un periodo inferiore a dieci anni.</w:t>
      </w:r>
    </w:p>
    <w:p w14:paraId="30992DF0" w14:textId="77777777" w:rsidR="00B54161" w:rsidRDefault="00B54161" w:rsidP="00B54161">
      <w:pPr>
        <w:pStyle w:val="NormaleWeb"/>
        <w:jc w:val="both"/>
      </w:pPr>
      <w:r>
        <w:t xml:space="preserve">Per ciò che concerne il requisito temporale, la circolare individua, come termine iniziale per il calcolo del decorso dei dieci anni, la data di conclusione degli interventi ammessi al </w:t>
      </w:r>
      <w:r>
        <w:rPr>
          <w:rStyle w:val="Enfasicorsivo"/>
          <w:rFonts w:eastAsiaTheme="majorEastAsia"/>
        </w:rPr>
        <w:t>Superbonus</w:t>
      </w:r>
      <w:r>
        <w:t>; tale data, in linea di principio, è comprovata dalle abilitazioni amministrative o dalle comunicazioni richieste dalla normativa urbanistica e dai regolamenti edilizi vigenti.</w:t>
      </w:r>
    </w:p>
    <w:p w14:paraId="1FF96956" w14:textId="77777777" w:rsidR="00B54161" w:rsidRDefault="00B54161" w:rsidP="00B54161">
      <w:pPr>
        <w:pStyle w:val="NormaleWeb"/>
        <w:jc w:val="both"/>
        <w:rPr>
          <w:rStyle w:val="Enfasigrassetto"/>
          <w:rFonts w:eastAsiaTheme="majorEastAsia"/>
        </w:rPr>
      </w:pPr>
    </w:p>
    <w:p w14:paraId="5DDE7709" w14:textId="46EA277B" w:rsidR="00B54161" w:rsidRDefault="00B54161" w:rsidP="00B54161">
      <w:pPr>
        <w:pStyle w:val="NormaleWeb"/>
        <w:jc w:val="both"/>
        <w:rPr>
          <w:rStyle w:val="Enfasigrassetto"/>
          <w:rFonts w:eastAsiaTheme="majorEastAsia"/>
        </w:rPr>
      </w:pPr>
      <w:r>
        <w:rPr>
          <w:rStyle w:val="Enfasigrassetto"/>
          <w:rFonts w:eastAsiaTheme="majorEastAsia"/>
        </w:rPr>
        <w:lastRenderedPageBreak/>
        <w:t>I criteri di calcolo della nuova plusvalenza</w:t>
      </w:r>
    </w:p>
    <w:p w14:paraId="0798B668" w14:textId="02C4B432" w:rsidR="00B54161" w:rsidRDefault="00B54161" w:rsidP="00B54161">
      <w:pPr>
        <w:pStyle w:val="NormaleWeb"/>
        <w:jc w:val="both"/>
      </w:pPr>
      <w:r>
        <w:t>L</w:t>
      </w:r>
      <w:r>
        <w:t xml:space="preserve">a plusvalenza ha origine dalla differenza tra il corrispettivo percepito </w:t>
      </w:r>
      <w:r>
        <w:t>per la vendita</w:t>
      </w:r>
      <w:r>
        <w:t xml:space="preserve"> e il prezzo d’acquisto o il costo di costruzione del bene ceduto, aumentato di ogni altro costo inerente al bene medesimo.</w:t>
      </w:r>
    </w:p>
    <w:p w14:paraId="267820A6" w14:textId="559890D1" w:rsidR="00B54161" w:rsidRDefault="00B51A4C" w:rsidP="00B54161">
      <w:pPr>
        <w:pStyle w:val="NormaleWeb"/>
        <w:jc w:val="both"/>
      </w:pPr>
      <w:r>
        <w:t xml:space="preserve">Quindi la nuova normativa prevede che se la vendita avviene nei </w:t>
      </w:r>
      <w:proofErr w:type="gramStart"/>
      <w:r>
        <w:t>5</w:t>
      </w:r>
      <w:proofErr w:type="gramEnd"/>
      <w:r>
        <w:t xml:space="preserve"> anni successivi ai lavori, </w:t>
      </w:r>
      <w:r w:rsidR="00B54161">
        <w:t xml:space="preserve">le spese relative agli interventi ammessi al </w:t>
      </w:r>
      <w:r w:rsidR="00B54161">
        <w:rPr>
          <w:rStyle w:val="Enfasicorsivo"/>
          <w:rFonts w:eastAsiaTheme="majorEastAsia"/>
        </w:rPr>
        <w:t>Superbonus</w:t>
      </w:r>
      <w:r w:rsidR="00B54161">
        <w:t xml:space="preserve"> non possono essere riconosciute a incremento del costo di acquisto (o di costruzione) dell’immobile se, congiuntamente:</w:t>
      </w:r>
    </w:p>
    <w:p w14:paraId="698959B1" w14:textId="77777777" w:rsidR="00B54161" w:rsidRDefault="00B54161" w:rsidP="00B54161">
      <w:pPr>
        <w:pStyle w:val="NormaleWeb"/>
        <w:jc w:val="both"/>
      </w:pPr>
      <w:r>
        <w:t xml:space="preserve">- l’esecuzione dell’intervento agevolato abbia comportato la fruizione del </w:t>
      </w:r>
      <w:r>
        <w:rPr>
          <w:rStyle w:val="Enfasicorsivo"/>
          <w:rFonts w:eastAsiaTheme="majorEastAsia"/>
        </w:rPr>
        <w:t>Superbonus</w:t>
      </w:r>
      <w:r>
        <w:t xml:space="preserve"> nella misura del 110% (al riguardo, la circolare precisa che, nel caso di fruizione dell’agevolazione in parte nella misura del 110% e in parte in misura inferiore, l’irrilevanza delle spese relative agli interventi agevolati riguarda solo le spese che hanno dato luogo all’incentivo nella misura del 110%);</w:t>
      </w:r>
    </w:p>
    <w:p w14:paraId="5542CFE3" w14:textId="77777777" w:rsidR="00B54161" w:rsidRDefault="00B54161" w:rsidP="00B54161">
      <w:pPr>
        <w:pStyle w:val="NormaleWeb"/>
        <w:jc w:val="both"/>
      </w:pPr>
      <w:r>
        <w:t xml:space="preserve">- siano state esercitate le opzioni per lo sconto in fattura praticato dal fornitore o per la cessione del credito d’imposta (a tal proposito, la circolare evidenzia che, nel caso di fruizione del </w:t>
      </w:r>
      <w:r>
        <w:rPr>
          <w:rStyle w:val="Enfasicorsivo"/>
          <w:rFonts w:eastAsiaTheme="majorEastAsia"/>
        </w:rPr>
        <w:t>Superbonus</w:t>
      </w:r>
      <w:r>
        <w:t xml:space="preserve"> attraverso la detrazione in quote annuali in dichiarazione, non si verifica, nel calcolo della plusvalenza, l’irrilevanza delle relative spese).</w:t>
      </w:r>
    </w:p>
    <w:p w14:paraId="7F2E2994" w14:textId="77777777" w:rsidR="00B54161" w:rsidRDefault="00B54161" w:rsidP="00B54161">
      <w:pPr>
        <w:pStyle w:val="NormaleWeb"/>
        <w:jc w:val="both"/>
      </w:pPr>
      <w:r>
        <w:t xml:space="preserve">Nel caso in cui, invece, tra la data di conclusione degli interventi agevolati con il </w:t>
      </w:r>
      <w:r>
        <w:rPr>
          <w:rStyle w:val="Enfasicorsivo"/>
          <w:rFonts w:eastAsiaTheme="majorEastAsia"/>
        </w:rPr>
        <w:t>Superbonus</w:t>
      </w:r>
      <w:r>
        <w:t xml:space="preserve"> e la data di cessione dell’immobile siano trascorsi più di cinque anni, laddove si sia fruito dell’incentivo nella misura del 110% e siano state esercitate le opzioni per lo sconto in fattura praticato dal fornitore o per la cessione del credito d’imposta, nella determinazione dei costi inerenti all’immobile si tiene conto del 50% delle spese sostenute per gli interventi agevolati.</w:t>
      </w:r>
    </w:p>
    <w:p w14:paraId="28FE051C" w14:textId="77777777" w:rsidR="00B54161" w:rsidRDefault="00B54161" w:rsidP="00B54161">
      <w:pPr>
        <w:pStyle w:val="NormaleWeb"/>
        <w:jc w:val="both"/>
      </w:pPr>
      <w:r>
        <w:t>Alla plusvalenza calcolata secondo i criteri sopra esposti può essere applicata l’imposta sostitutiva dell’imposta sul reddito prevista dall’articolo 1, comma 496, della legge n. 266/2005, nella misura del 26%, con le medesime modalità definite da tale disposizione.</w:t>
      </w:r>
    </w:p>
    <w:p w14:paraId="188C2276" w14:textId="49A2ED5C" w:rsidR="00816A34" w:rsidRDefault="00B51A4C">
      <w:pPr>
        <w:rPr>
          <w:b/>
          <w:bCs/>
        </w:rPr>
      </w:pPr>
      <w:r w:rsidRPr="00B51A4C">
        <w:rPr>
          <w:b/>
          <w:bCs/>
        </w:rPr>
        <w:t>Esempio</w:t>
      </w:r>
    </w:p>
    <w:p w14:paraId="43B71355" w14:textId="3F409BBE" w:rsidR="00463DC2" w:rsidRDefault="00463DC2" w:rsidP="00FA1B07">
      <w:pPr>
        <w:jc w:val="both"/>
      </w:pPr>
      <w:r>
        <w:t>Acquisto di immobile da 6 anni ad € 100.000. Ristrutturazione 2022 al 110% per € 50.000. Vendita nel 2024 ad € 200.000.</w:t>
      </w:r>
    </w:p>
    <w:p w14:paraId="1B65F9E4" w14:textId="2678B1DB" w:rsidR="00463DC2" w:rsidRDefault="00FA1B07" w:rsidP="00FA1B07">
      <w:pPr>
        <w:jc w:val="both"/>
      </w:pPr>
      <w:r>
        <w:t xml:space="preserve">Come si può notare il fatto che si sia fatta ristrutturazione SUPERBONUS fa rientrare l’operazione al nuovo regime e quindi soggetto a plusvalenza. </w:t>
      </w:r>
    </w:p>
    <w:p w14:paraId="1E1E0E68" w14:textId="2B6C8125" w:rsidR="00FA1B07" w:rsidRDefault="00FA1B07" w:rsidP="00FA1B07">
      <w:pPr>
        <w:jc w:val="both"/>
      </w:pPr>
      <w:r>
        <w:t>Se si è usufruito dello sconto in fattura il calcolo sarà:</w:t>
      </w:r>
    </w:p>
    <w:p w14:paraId="409FEC99" w14:textId="30B152A7" w:rsidR="00FA1B07" w:rsidRDefault="008B5B06" w:rsidP="00FA1B07">
      <w:pPr>
        <w:jc w:val="both"/>
      </w:pPr>
      <w:r>
        <w:t>200.000 – 100.000 = 100.000 (plusvalenza su cui calcolare le imposte). Se invece si usufruisce del credito nella propria dichiarazione:</w:t>
      </w:r>
    </w:p>
    <w:p w14:paraId="4EDD6511" w14:textId="04943446" w:rsidR="008B5B06" w:rsidRDefault="008B5B06" w:rsidP="00FA1B07">
      <w:pPr>
        <w:jc w:val="both"/>
      </w:pPr>
      <w:r>
        <w:t>200.000 – 100.000 – 50.000 = 50.000 (plusvalenza su cui calcolare le imposte).</w:t>
      </w:r>
    </w:p>
    <w:p w14:paraId="2A59D79B" w14:textId="5DADA5EB" w:rsidR="008B5B06" w:rsidRDefault="008B5B06" w:rsidP="00FA1B07">
      <w:pPr>
        <w:jc w:val="both"/>
      </w:pPr>
      <w:r>
        <w:t xml:space="preserve">Se, dai lavori sono passati </w:t>
      </w:r>
      <w:proofErr w:type="gramStart"/>
      <w:r>
        <w:t>5</w:t>
      </w:r>
      <w:proofErr w:type="gramEnd"/>
      <w:r>
        <w:t xml:space="preserve"> anni dai lavori e si è usufruito dello sconto in fattura o cessione del credito:</w:t>
      </w:r>
    </w:p>
    <w:p w14:paraId="7CD639A5" w14:textId="201C4F51" w:rsidR="008B5B06" w:rsidRDefault="008B5B06" w:rsidP="00FA1B07">
      <w:pPr>
        <w:jc w:val="both"/>
      </w:pPr>
      <w:r>
        <w:t xml:space="preserve">200.000 – 100.000 – 25.000 (50% dei lavori) = 75.000 </w:t>
      </w:r>
      <w:r>
        <w:t>(plusvalenza su cui calcolare le imposte)</w:t>
      </w:r>
    </w:p>
    <w:p w14:paraId="586C7FA9" w14:textId="3DA682D9" w:rsidR="008B5B06" w:rsidRDefault="008B5B06" w:rsidP="00FA1B07">
      <w:pPr>
        <w:jc w:val="both"/>
      </w:pPr>
      <w:r>
        <w:t>Rimini 14/06/2024</w:t>
      </w:r>
    </w:p>
    <w:p w14:paraId="07D64C7B" w14:textId="478A82F6" w:rsidR="008B5B06" w:rsidRPr="00463DC2" w:rsidRDefault="008B5B06" w:rsidP="00FA1B0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Studio Bruschi</w:t>
      </w:r>
    </w:p>
    <w:sectPr w:rsidR="008B5B06" w:rsidRPr="00463D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61"/>
    <w:rsid w:val="003913AF"/>
    <w:rsid w:val="004349AD"/>
    <w:rsid w:val="00463DC2"/>
    <w:rsid w:val="00816A34"/>
    <w:rsid w:val="008B5B06"/>
    <w:rsid w:val="00B51A4C"/>
    <w:rsid w:val="00B54161"/>
    <w:rsid w:val="00FA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9D59B"/>
  <w15:chartTrackingRefBased/>
  <w15:docId w15:val="{4104931C-390E-4E0E-854E-C3340045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41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4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41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41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41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41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41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41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41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41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41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41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416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416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416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416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416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416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41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4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41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41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4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416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416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416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41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416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4161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B5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B5416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54161"/>
    <w:rPr>
      <w:b/>
      <w:bCs/>
    </w:rPr>
  </w:style>
  <w:style w:type="character" w:styleId="Enfasicorsivo">
    <w:name w:val="Emphasis"/>
    <w:basedOn w:val="Carpredefinitoparagrafo"/>
    <w:uiPriority w:val="20"/>
    <w:qFormat/>
    <w:rsid w:val="00B541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genziaentrate.gov.it/portale/documents/20143/6193294/Circolare+plusvalenze+superbonus+n.+13+del+13+giugno+2024_.pdf/6aea10c1-d402-3204-eb3e-b8a64422a43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Bruschi</dc:creator>
  <cp:keywords/>
  <dc:description/>
  <cp:lastModifiedBy>Emanuele Bruschi</cp:lastModifiedBy>
  <cp:revision>1</cp:revision>
  <dcterms:created xsi:type="dcterms:W3CDTF">2024-06-14T07:34:00Z</dcterms:created>
  <dcterms:modified xsi:type="dcterms:W3CDTF">2024-06-14T08:21:00Z</dcterms:modified>
</cp:coreProperties>
</file>